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Theme="minor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附件</w:t>
      </w:r>
      <w:r>
        <w:rPr>
          <w:rFonts w:hint="eastAsia"/>
          <w:color w:val="000000"/>
          <w:kern w:val="0"/>
          <w:szCs w:val="21"/>
          <w:lang w:val="en-US" w:eastAsia="zh-CN"/>
        </w:rPr>
        <w:t>7</w:t>
      </w:r>
    </w:p>
    <w:p>
      <w:pPr>
        <w:spacing w:line="288" w:lineRule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288" w:lineRule="auto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湖南农业大学高等学历继续教育</w:t>
      </w:r>
    </w:p>
    <w:p>
      <w:pPr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上学期（春季学期）</w:t>
      </w:r>
      <w:r>
        <w:rPr>
          <w:rFonts w:hint="eastAsia" w:ascii="黑体" w:hAnsi="黑体" w:eastAsia="黑体" w:cs="黑体"/>
          <w:kern w:val="0"/>
          <w:sz w:val="32"/>
          <w:szCs w:val="32"/>
        </w:rPr>
        <w:t>期末线上阅卷操作流程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一、阅卷老师设置注意事项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注意事项：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color w:val="FF0000"/>
          <w:sz w:val="24"/>
        </w:rPr>
        <w:t>设置阅卷老师</w:t>
      </w:r>
      <w:r>
        <w:rPr>
          <w:rFonts w:ascii="Times New Roman" w:hAnsi="Times New Roman" w:eastAsia="宋体" w:cs="Times New Roman"/>
          <w:color w:val="FF0000"/>
          <w:kern w:val="0"/>
          <w:sz w:val="24"/>
          <w:lang w:bidi="ar"/>
        </w:rPr>
        <w:t>前请在教务-教师教室管理将教师提前维护好！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2、需先在站点端针对考试课程</w:t>
      </w: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设置</w:t>
      </w:r>
      <w:r>
        <w:rPr>
          <w:rFonts w:ascii="Times New Roman" w:hAnsi="Times New Roman" w:eastAsia="宋体" w:cs="Times New Roman"/>
          <w:color w:val="FF0000"/>
          <w:sz w:val="24"/>
        </w:rPr>
        <w:t>分配阅卷老师后，阅卷老师才能登录教师端查看到考生的试卷，进行阅卷！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3、建议同一门课程只设置一个阅卷老师！！！如同一门课程设置了AB两位阅卷老师，那么AB两位老师将都能看到这门课程所有考生的试卷，且AB两位老师同时阅到一门课程时，哪位老师后进行阅卷提交，就以哪位老师阅的得分为最终成绩，阅完的卷将变为已阅，不能再重复阅卷！</w:t>
      </w:r>
    </w:p>
    <w:p>
      <w:pPr>
        <w:widowControl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4、2023级、2024级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学生的阅卷工作由继续教育学院组织完成，其他年级的由各校外教学点组织完成。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二、登录方式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1、湖南农业大学函授站登录网址：https://hunau.web.superchutou.com/member/（请使用谷歌浏览器和360极速浏览器登录）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9840" cy="2339975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2、湖南农业大学教师端登录网址：http://hunau.teacher.superchutou.com/（请使用谷歌浏览器和360极速浏览器登录，有两种登录方式，一种是账号密码为身份证和身份证后六位登录，一种是手机号接收验证码登录）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9840" cy="233997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三、阅卷老师设置具体操作步骤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sz w:val="24"/>
        </w:rPr>
        <w:t>1、登录站点端后，首先在教务-教师教室管理-教师管理-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单个添加教师/批量导入教师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9840" cy="2339975"/>
            <wp:effectExtent l="0" t="0" r="5080" b="698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9840" cy="2339975"/>
            <wp:effectExtent l="0" t="0" r="508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2、添加完教师后，在教务-考试安排-高校计划列表找到对应的考试计划-点击右</w:t>
      </w:r>
      <w:r>
        <w:rPr>
          <w:rFonts w:ascii="Times New Roman" w:hAnsi="Times New Roman" w:eastAsia="宋体" w:cs="Times New Roman"/>
          <w:spacing w:val="-6"/>
          <w:sz w:val="24"/>
        </w:rPr>
        <w:t>侧操作选择‘设置阅卷老师’，针对考试课程设置阅卷老师来进行阅卷（可选择好课程后，单个或批量设置阅卷老师，如阅卷老师设置错误，也可取消阅卷老师，重新设置）</w:t>
      </w:r>
    </w:p>
    <w:p>
      <w:pPr>
        <w:jc w:val="center"/>
      </w:pPr>
      <w:r>
        <w:drawing>
          <wp:inline distT="0" distB="0" distL="114300" distR="114300">
            <wp:extent cx="5069840" cy="233997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068570" cy="2621915"/>
            <wp:effectExtent l="0" t="0" r="6350" b="146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068570" cy="2592705"/>
            <wp:effectExtent l="0" t="0" r="6350" b="133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8570" cy="2608580"/>
            <wp:effectExtent l="0" t="0" r="635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3、设置好阅卷老师后，对应课程的阅卷老师请登录教师端，在考试管理-阅卷管理进行阅卷（系统将会按考试计划、年级、专业、课程等进行阅卷排序），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需要阅卷的课程，系统会显示为“需要”，阅卷老师直接</w:t>
      </w:r>
      <w:r>
        <w:rPr>
          <w:rFonts w:ascii="Times New Roman" w:hAnsi="Times New Roman" w:eastAsia="宋体" w:cs="Times New Roman"/>
          <w:sz w:val="24"/>
        </w:rPr>
        <w:t>点击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需要</w:t>
      </w:r>
      <w:r>
        <w:rPr>
          <w:rFonts w:ascii="Times New Roman" w:hAnsi="Times New Roman" w:eastAsia="宋体" w:cs="Times New Roman"/>
          <w:sz w:val="24"/>
        </w:rPr>
        <w:t>阅卷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课程进入</w:t>
      </w:r>
      <w:r>
        <w:rPr>
          <w:rFonts w:ascii="Times New Roman" w:hAnsi="Times New Roman" w:eastAsia="宋体" w:cs="Times New Roman"/>
          <w:sz w:val="24"/>
        </w:rPr>
        <w:t>后能查看到未阅卷列表的学生，老师进行主观题的阅卷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系统会默认只显示要阅卷的主观题，如需查看客观题，可自行勾选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  <w:r>
        <w:rPr>
          <w:rFonts w:ascii="Times New Roman" w:hAnsi="Times New Roman" w:eastAsia="宋体" w:cs="Times New Roman"/>
          <w:sz w:val="24"/>
        </w:rPr>
        <w:t>，阅完卷后，考生会出现在已阅卷列表，可查看考生试卷详情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如阅卷失误，可点击“撤销阅卷”重新阅</w:t>
      </w:r>
      <w:r>
        <w:rPr>
          <w:rFonts w:ascii="Times New Roman" w:hAnsi="Times New Roman" w:eastAsia="宋体" w:cs="Times New Roman"/>
          <w:color w:val="FF0000"/>
          <w:sz w:val="24"/>
        </w:rPr>
        <w:t>。</w:t>
      </w:r>
    </w:p>
    <w:p>
      <w:pPr>
        <w:jc w:val="center"/>
      </w:pPr>
      <w:r>
        <w:drawing>
          <wp:inline distT="0" distB="0" distL="114300" distR="114300">
            <wp:extent cx="5068570" cy="2439670"/>
            <wp:effectExtent l="0" t="0" r="177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068570" cy="2439670"/>
            <wp:effectExtent l="0" t="0" r="17780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068570" cy="3023235"/>
            <wp:effectExtent l="0" t="0" r="17780" b="57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440" w:right="1587" w:bottom="1440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67512"/>
    <w:multiLevelType w:val="singleLevel"/>
    <w:tmpl w:val="8E6675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mQ2YWQyYzhmMGUyZWY0YjQyNjRhMTA5M2I5NGUifQ=="/>
  </w:docVars>
  <w:rsids>
    <w:rsidRoot w:val="00AB78AA"/>
    <w:rsid w:val="004056C0"/>
    <w:rsid w:val="00AB78AA"/>
    <w:rsid w:val="03F66CC8"/>
    <w:rsid w:val="03FE6B00"/>
    <w:rsid w:val="15967670"/>
    <w:rsid w:val="17B5178B"/>
    <w:rsid w:val="1C181224"/>
    <w:rsid w:val="273B5BC0"/>
    <w:rsid w:val="29036758"/>
    <w:rsid w:val="2E5B3818"/>
    <w:rsid w:val="30C06021"/>
    <w:rsid w:val="323E5685"/>
    <w:rsid w:val="365D524C"/>
    <w:rsid w:val="3BE66041"/>
    <w:rsid w:val="472D178D"/>
    <w:rsid w:val="4DAB7AB1"/>
    <w:rsid w:val="521308D0"/>
    <w:rsid w:val="52834B20"/>
    <w:rsid w:val="56424695"/>
    <w:rsid w:val="5C43795D"/>
    <w:rsid w:val="643E0E33"/>
    <w:rsid w:val="6B7244C3"/>
    <w:rsid w:val="748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743</Words>
  <Characters>829</Characters>
  <Lines>5</Lines>
  <Paragraphs>1</Paragraphs>
  <TotalTime>4</TotalTime>
  <ScaleCrop>false</ScaleCrop>
  <LinksUpToDate>false</LinksUpToDate>
  <CharactersWithSpaces>829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微信用户</cp:lastModifiedBy>
  <dcterms:modified xsi:type="dcterms:W3CDTF">2024-05-20T03:01:48Z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A5DC45B928ED4549817DA183B04194FD_13</vt:lpwstr>
  </property>
</Properties>
</file>